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452AA" w14:textId="47D2E3B4" w:rsidR="003729C1" w:rsidRDefault="005E3320" w:rsidP="00F938F0">
      <w:pPr>
        <w:ind w:left="661" w:hanging="519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00764B5C" wp14:editId="4775B821">
            <wp:extent cx="6546850" cy="654935"/>
            <wp:effectExtent l="0" t="0" r="6350" b="0"/>
            <wp:docPr id="3035016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D599C" w14:textId="1024CE80" w:rsidR="00074365" w:rsidRPr="00074365" w:rsidRDefault="00527906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/>
          <w:sz w:val="20"/>
          <w:szCs w:val="20"/>
        </w:rPr>
        <w:t>Załącznik</w:t>
      </w:r>
      <w:r w:rsidRPr="00074365">
        <w:rPr>
          <w:rFonts w:ascii="Lato" w:hAnsi="Lato"/>
          <w:spacing w:val="7"/>
          <w:sz w:val="20"/>
          <w:szCs w:val="20"/>
        </w:rPr>
        <w:t xml:space="preserve"> </w:t>
      </w:r>
      <w:r w:rsidRPr="00074365">
        <w:rPr>
          <w:rFonts w:ascii="Lato" w:hAnsi="Lato"/>
          <w:sz w:val="20"/>
          <w:szCs w:val="20"/>
        </w:rPr>
        <w:t>nr</w:t>
      </w:r>
      <w:r w:rsidRPr="00074365">
        <w:rPr>
          <w:rFonts w:ascii="Lato" w:hAnsi="Lato"/>
          <w:spacing w:val="9"/>
          <w:sz w:val="20"/>
          <w:szCs w:val="20"/>
        </w:rPr>
        <w:t xml:space="preserve"> </w:t>
      </w:r>
      <w:r w:rsidR="00E93EC1">
        <w:rPr>
          <w:rFonts w:ascii="Lato" w:hAnsi="Lato"/>
          <w:spacing w:val="9"/>
          <w:sz w:val="20"/>
          <w:szCs w:val="20"/>
        </w:rPr>
        <w:t>2.</w:t>
      </w:r>
      <w:r w:rsidRPr="00074365">
        <w:rPr>
          <w:rFonts w:ascii="Lato" w:hAnsi="Lato"/>
          <w:sz w:val="20"/>
          <w:szCs w:val="20"/>
        </w:rPr>
        <w:t>3</w:t>
      </w:r>
      <w:r w:rsidRPr="00074365">
        <w:rPr>
          <w:rFonts w:ascii="Lato" w:hAnsi="Lato"/>
          <w:spacing w:val="12"/>
          <w:sz w:val="20"/>
          <w:szCs w:val="20"/>
        </w:rPr>
        <w:t xml:space="preserve"> </w:t>
      </w:r>
      <w:r w:rsidR="00E93EC1">
        <w:rPr>
          <w:rFonts w:ascii="Lato" w:hAnsi="Lato"/>
          <w:spacing w:val="12"/>
          <w:sz w:val="20"/>
          <w:szCs w:val="20"/>
        </w:rPr>
        <w:t xml:space="preserve">do </w:t>
      </w:r>
      <w:r w:rsidRPr="00074365">
        <w:rPr>
          <w:rFonts w:ascii="Lato" w:hAnsi="Lato"/>
          <w:sz w:val="20"/>
          <w:szCs w:val="20"/>
        </w:rPr>
        <w:t>Regulaminu</w:t>
      </w:r>
      <w:r w:rsidRPr="00074365">
        <w:rPr>
          <w:rFonts w:ascii="Lato" w:hAnsi="Lato"/>
          <w:spacing w:val="13"/>
          <w:sz w:val="20"/>
          <w:szCs w:val="20"/>
        </w:rPr>
        <w:t xml:space="preserve"> </w:t>
      </w:r>
      <w:r w:rsidR="00074365" w:rsidRPr="00074365">
        <w:rPr>
          <w:rFonts w:ascii="Lato" w:hAnsi="Lato" w:cs="Arial"/>
          <w:sz w:val="20"/>
          <w:szCs w:val="20"/>
        </w:rPr>
        <w:t>wyboru przedsięwzięć do objęcia wsparciem</w:t>
      </w:r>
    </w:p>
    <w:p w14:paraId="24538F70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sz w:val="20"/>
          <w:szCs w:val="20"/>
        </w:rPr>
      </w:pPr>
      <w:r w:rsidRPr="00074365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34B28664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Komponent D „Efektywność, dostępność i jakość systemu ochrony zdrowia” </w:t>
      </w:r>
    </w:p>
    <w:p w14:paraId="79F4CB65" w14:textId="77777777" w:rsidR="00E93EC1" w:rsidRPr="00E93EC1" w:rsidRDefault="00074365" w:rsidP="00E93EC1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Inwestycja </w:t>
      </w:r>
      <w:r w:rsidR="00E93EC1" w:rsidRPr="00E93EC1">
        <w:rPr>
          <w:rFonts w:ascii="Lato" w:hAnsi="Lato" w:cs="Arial"/>
          <w:b/>
          <w:bCs/>
          <w:sz w:val="20"/>
          <w:szCs w:val="20"/>
        </w:rPr>
        <w:t>D1.1.1 „</w:t>
      </w:r>
      <w:bookmarkStart w:id="0" w:name="_Hlk147318705"/>
      <w:r w:rsidR="00E93EC1" w:rsidRPr="00E93EC1">
        <w:rPr>
          <w:rFonts w:ascii="Lato" w:hAnsi="Lato" w:cs="Arial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E93EC1" w:rsidRPr="00E93EC1">
        <w:rPr>
          <w:rFonts w:ascii="Lato" w:hAnsi="Lato" w:cs="Arial"/>
          <w:b/>
          <w:bCs/>
          <w:sz w:val="20"/>
          <w:szCs w:val="20"/>
        </w:rPr>
        <w:t>”,</w:t>
      </w:r>
    </w:p>
    <w:p w14:paraId="733D4306" w14:textId="0219B150" w:rsidR="003729C1" w:rsidRPr="007314C9" w:rsidRDefault="00527906" w:rsidP="00074365">
      <w:pPr>
        <w:pStyle w:val="Tytu"/>
        <w:ind w:left="618"/>
        <w:rPr>
          <w:rFonts w:ascii="Lato" w:hAnsi="Lato"/>
          <w:i w:val="0"/>
          <w:sz w:val="20"/>
          <w:szCs w:val="20"/>
        </w:rPr>
      </w:pPr>
      <w:r w:rsidRPr="00074365">
        <w:rPr>
          <w:rFonts w:ascii="Lato" w:hAnsi="Lato"/>
          <w:i w:val="0"/>
          <w:sz w:val="20"/>
          <w:szCs w:val="20"/>
        </w:rPr>
        <w:t>Harmonogram</w:t>
      </w:r>
      <w:r w:rsidRPr="00074365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F271BD">
        <w:rPr>
          <w:rFonts w:ascii="Lato" w:hAnsi="Lato"/>
          <w:i w:val="0"/>
          <w:sz w:val="20"/>
          <w:szCs w:val="20"/>
        </w:rPr>
        <w:t>naboru</w:t>
      </w:r>
      <w:r w:rsidR="00F271BD" w:rsidRPr="00074365">
        <w:rPr>
          <w:rFonts w:ascii="Lato" w:hAnsi="Lato"/>
          <w:i w:val="0"/>
          <w:spacing w:val="28"/>
          <w:sz w:val="20"/>
          <w:szCs w:val="20"/>
        </w:rPr>
        <w:t xml:space="preserve"> </w:t>
      </w:r>
      <w:r w:rsidRPr="007314C9">
        <w:rPr>
          <w:rFonts w:ascii="Lato" w:hAnsi="Lato"/>
          <w:i w:val="0"/>
          <w:sz w:val="20"/>
          <w:szCs w:val="20"/>
        </w:rPr>
        <w:t>nr</w:t>
      </w:r>
      <w:r w:rsidRPr="007314C9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0D3170" w:rsidRPr="008C5413">
        <w:rPr>
          <w:rFonts w:ascii="Lato" w:hAnsi="Lato"/>
          <w:i w:val="0"/>
          <w:spacing w:val="25"/>
          <w:sz w:val="20"/>
          <w:szCs w:val="20"/>
        </w:rPr>
        <w:t>[</w:t>
      </w:r>
      <w:r w:rsidR="008C5413" w:rsidRPr="008C5413">
        <w:rPr>
          <w:rFonts w:ascii="Lato" w:hAnsi="Lato"/>
          <w:i w:val="0"/>
          <w:spacing w:val="25"/>
          <w:sz w:val="20"/>
          <w:szCs w:val="20"/>
        </w:rPr>
        <w:t>KPOD.07.02-IP.10-001/25</w:t>
      </w:r>
      <w:r w:rsidR="000D3170" w:rsidRPr="008C5413">
        <w:rPr>
          <w:rFonts w:ascii="Lato" w:hAnsi="Lato"/>
          <w:i w:val="0"/>
          <w:spacing w:val="25"/>
          <w:sz w:val="20"/>
          <w:szCs w:val="20"/>
        </w:rPr>
        <w:t>]</w:t>
      </w:r>
    </w:p>
    <w:p w14:paraId="10411FA4" w14:textId="77777777" w:rsidR="003729C1" w:rsidRPr="007314C9" w:rsidRDefault="003729C1">
      <w:pPr>
        <w:spacing w:before="17" w:after="1"/>
        <w:rPr>
          <w:rFonts w:ascii="Arial"/>
          <w:b/>
          <w:sz w:val="20"/>
        </w:rPr>
      </w:pPr>
    </w:p>
    <w:p w14:paraId="22124664" w14:textId="77777777" w:rsidR="00484C95" w:rsidRPr="007314C9" w:rsidRDefault="00484C95"/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816"/>
        <w:gridCol w:w="2979"/>
      </w:tblGrid>
      <w:tr w:rsidR="00484C95" w:rsidRPr="007314C9" w14:paraId="231C85D6" w14:textId="77777777" w:rsidTr="001F43E8">
        <w:trPr>
          <w:trHeight w:val="607"/>
        </w:trPr>
        <w:tc>
          <w:tcPr>
            <w:tcW w:w="3267" w:type="dxa"/>
            <w:shd w:val="clear" w:color="auto" w:fill="92D050"/>
          </w:tcPr>
          <w:p w14:paraId="5F0E0746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3839EC63" w14:textId="77777777" w:rsidR="00484C95" w:rsidRPr="007314C9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pacing w:val="-2"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z w:val="18"/>
                <w:szCs w:val="18"/>
              </w:rPr>
              <w:t>ETAP</w:t>
            </w:r>
            <w:r w:rsidRPr="007314C9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KONKURSU</w:t>
            </w:r>
          </w:p>
          <w:p w14:paraId="212E5148" w14:textId="77777777" w:rsidR="00484C95" w:rsidRPr="007314C9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3816" w:type="dxa"/>
            <w:shd w:val="clear" w:color="auto" w:fill="92D050"/>
          </w:tcPr>
          <w:p w14:paraId="08F0FD4B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2031DA53" w14:textId="77777777" w:rsidR="00484C95" w:rsidRPr="007314C9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TERMIN</w:t>
            </w:r>
          </w:p>
        </w:tc>
        <w:tc>
          <w:tcPr>
            <w:tcW w:w="2979" w:type="dxa"/>
            <w:shd w:val="clear" w:color="auto" w:fill="92D050"/>
          </w:tcPr>
          <w:p w14:paraId="33915ED8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6AF06340" w14:textId="77777777" w:rsidR="00484C95" w:rsidRPr="007314C9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z w:val="18"/>
                <w:szCs w:val="18"/>
              </w:rPr>
              <w:t>CZAS</w:t>
            </w:r>
            <w:r w:rsidRPr="007314C9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TRWANIA</w:t>
            </w:r>
          </w:p>
        </w:tc>
      </w:tr>
      <w:tr w:rsidR="00484C95" w:rsidRPr="007314C9" w14:paraId="3634880B" w14:textId="77777777" w:rsidTr="00B11AC7">
        <w:trPr>
          <w:trHeight w:val="817"/>
        </w:trPr>
        <w:tc>
          <w:tcPr>
            <w:tcW w:w="3267" w:type="dxa"/>
            <w:vAlign w:val="center"/>
          </w:tcPr>
          <w:p w14:paraId="184738B0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Ogłoszenie</w:t>
            </w:r>
            <w:r w:rsidRPr="007314C9">
              <w:rPr>
                <w:rFonts w:ascii="Lato" w:hAnsi="Lato"/>
                <w:bCs/>
                <w:spacing w:val="-5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konkursu</w:t>
            </w:r>
          </w:p>
        </w:tc>
        <w:tc>
          <w:tcPr>
            <w:tcW w:w="3816" w:type="dxa"/>
            <w:vAlign w:val="center"/>
          </w:tcPr>
          <w:p w14:paraId="7F567886" w14:textId="70F05224" w:rsidR="00484C95" w:rsidRPr="00E817ED" w:rsidRDefault="00D02B72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F4659C">
              <w:rPr>
                <w:rFonts w:ascii="Lato" w:hAnsi="Lato"/>
                <w:bCs/>
                <w:sz w:val="18"/>
                <w:szCs w:val="18"/>
              </w:rPr>
              <w:t>6</w:t>
            </w:r>
            <w:r w:rsidR="00D850FE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6511E5" w:rsidRPr="00E817ED">
              <w:rPr>
                <w:rFonts w:ascii="Lato" w:hAnsi="Lato"/>
                <w:bCs/>
                <w:sz w:val="18"/>
                <w:szCs w:val="18"/>
              </w:rPr>
              <w:t>lipca</w:t>
            </w:r>
            <w:r w:rsidR="00976C88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2025 r.</w:t>
            </w:r>
          </w:p>
        </w:tc>
        <w:tc>
          <w:tcPr>
            <w:tcW w:w="2979" w:type="dxa"/>
            <w:vAlign w:val="center"/>
          </w:tcPr>
          <w:p w14:paraId="335A9C8C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:rsidRPr="007314C9" w14:paraId="3E7598DD" w14:textId="77777777" w:rsidTr="00B11AC7">
        <w:trPr>
          <w:trHeight w:val="1297"/>
        </w:trPr>
        <w:tc>
          <w:tcPr>
            <w:tcW w:w="3267" w:type="dxa"/>
            <w:vAlign w:val="center"/>
          </w:tcPr>
          <w:p w14:paraId="1853D80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 w:right="440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Nabór wniosków o objęcie przedsięwzięcia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wsparciem</w:t>
            </w:r>
          </w:p>
        </w:tc>
        <w:tc>
          <w:tcPr>
            <w:tcW w:w="3816" w:type="dxa"/>
            <w:vAlign w:val="center"/>
          </w:tcPr>
          <w:p w14:paraId="247F4AF8" w14:textId="7F09A46C" w:rsidR="00484C95" w:rsidRPr="00E817ED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>od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961BE1">
              <w:rPr>
                <w:rFonts w:ascii="Lato" w:hAnsi="Lato"/>
                <w:bCs/>
                <w:sz w:val="18"/>
                <w:szCs w:val="18"/>
              </w:rPr>
              <w:t>29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7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 xml:space="preserve">.2025 r. – do 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3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6511E5" w:rsidRPr="00E817ED">
              <w:rPr>
                <w:rFonts w:ascii="Lato" w:hAnsi="Lato"/>
                <w:bCs/>
                <w:sz w:val="18"/>
                <w:szCs w:val="18"/>
              </w:rPr>
              <w:t>8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3E4A2B8D" w14:textId="02B36D4D" w:rsidR="00484C95" w:rsidRPr="007314C9" w:rsidRDefault="00853769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6</w:t>
            </w:r>
            <w:r w:rsidR="00484C95" w:rsidRPr="007314C9">
              <w:rPr>
                <w:rFonts w:ascii="Lato" w:hAnsi="Lato"/>
                <w:bCs/>
                <w:spacing w:val="1"/>
                <w:sz w:val="18"/>
                <w:szCs w:val="18"/>
              </w:rPr>
              <w:t xml:space="preserve"> </w:t>
            </w:r>
            <w:r w:rsidR="00484C95" w:rsidRPr="007314C9">
              <w:rPr>
                <w:rFonts w:ascii="Lato" w:hAnsi="Lato"/>
                <w:bCs/>
                <w:spacing w:val="-5"/>
                <w:sz w:val="18"/>
                <w:szCs w:val="18"/>
              </w:rPr>
              <w:t>dni</w:t>
            </w:r>
          </w:p>
        </w:tc>
      </w:tr>
      <w:tr w:rsidR="00484C95" w:rsidRPr="007314C9" w14:paraId="6D0C1BFF" w14:textId="77777777" w:rsidTr="00B11AC7">
        <w:trPr>
          <w:trHeight w:val="1945"/>
        </w:trPr>
        <w:tc>
          <w:tcPr>
            <w:tcW w:w="3267" w:type="dxa"/>
            <w:vAlign w:val="center"/>
          </w:tcPr>
          <w:p w14:paraId="40762B8E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Ocena wniosków o objęcie przedsięwzięcia wsparciem wraz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z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ewentualną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poprawą/ uzupełnianiem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dokumentacji przez Wnioskodawców</w:t>
            </w:r>
          </w:p>
        </w:tc>
        <w:tc>
          <w:tcPr>
            <w:tcW w:w="3816" w:type="dxa"/>
            <w:vAlign w:val="center"/>
          </w:tcPr>
          <w:p w14:paraId="4F460FDB" w14:textId="73C9FD2B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 xml:space="preserve">od 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4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A04187" w:rsidRPr="00E817ED">
              <w:rPr>
                <w:rFonts w:ascii="Lato" w:hAnsi="Lato"/>
                <w:bCs/>
                <w:sz w:val="18"/>
                <w:szCs w:val="18"/>
              </w:rPr>
              <w:t>8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 xml:space="preserve">.2025 r. do </w:t>
            </w:r>
            <w:r w:rsidR="00E817ED">
              <w:rPr>
                <w:rFonts w:ascii="Lato" w:hAnsi="Lato"/>
                <w:bCs/>
                <w:sz w:val="18"/>
                <w:szCs w:val="18"/>
              </w:rPr>
              <w:t>2</w:t>
            </w:r>
            <w:r w:rsidR="00961BE1">
              <w:rPr>
                <w:rFonts w:ascii="Lato" w:hAnsi="Lato"/>
                <w:bCs/>
                <w:sz w:val="18"/>
                <w:szCs w:val="18"/>
              </w:rPr>
              <w:t>1</w:t>
            </w:r>
            <w:r w:rsidR="007314C9" w:rsidRPr="00E817ED">
              <w:rPr>
                <w:rFonts w:ascii="Lato" w:hAnsi="Lato"/>
                <w:bCs/>
                <w:sz w:val="18"/>
                <w:szCs w:val="18"/>
              </w:rPr>
              <w:t>.10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196C5BD8" w14:textId="6AADADAC" w:rsidR="00484C95" w:rsidRPr="007314C9" w:rsidRDefault="00484C95" w:rsidP="0035705F">
            <w:pPr>
              <w:pStyle w:val="TableParagraph"/>
              <w:spacing w:before="120" w:after="120" w:line="252" w:lineRule="auto"/>
              <w:ind w:left="108"/>
              <w:jc w:val="center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Wnioskodawca</w:t>
            </w:r>
            <w:r w:rsidR="00AD1834" w:rsidRPr="007314C9">
              <w:rPr>
                <w:rFonts w:ascii="Lato" w:hAnsi="Lato"/>
                <w:bCs/>
                <w:sz w:val="18"/>
                <w:szCs w:val="18"/>
              </w:rPr>
              <w:t xml:space="preserve"> na uzupełnienie/poprawę dokumentacji aplikacyjnej zgodnie z wezwaniem: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="00A441F3" w:rsidRPr="007314C9">
              <w:rPr>
                <w:rFonts w:ascii="Lato" w:hAnsi="Lato"/>
                <w:bCs/>
                <w:sz w:val="18"/>
                <w:szCs w:val="18"/>
              </w:rPr>
              <w:t>5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dni od dnia następującego po dniu wysłania wezwania do uzupełnień</w:t>
            </w:r>
            <w:r w:rsidR="00AD1834" w:rsidRPr="007314C9">
              <w:rPr>
                <w:rFonts w:ascii="Lato" w:hAnsi="Lato"/>
                <w:bCs/>
                <w:sz w:val="18"/>
                <w:szCs w:val="18"/>
              </w:rPr>
              <w:t>, z zachowaniem art. 57 KPA</w:t>
            </w:r>
          </w:p>
        </w:tc>
      </w:tr>
      <w:tr w:rsidR="00484C95" w:rsidRPr="007314C9" w14:paraId="672755AF" w14:textId="77777777" w:rsidTr="00B11AC7">
        <w:trPr>
          <w:trHeight w:val="1331"/>
        </w:trPr>
        <w:tc>
          <w:tcPr>
            <w:tcW w:w="3267" w:type="dxa"/>
            <w:vAlign w:val="center"/>
          </w:tcPr>
          <w:p w14:paraId="049AFE20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Sporządzenie i zatwierdzenie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listy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ocenionych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przedsięwzięć</w:t>
            </w:r>
          </w:p>
        </w:tc>
        <w:tc>
          <w:tcPr>
            <w:tcW w:w="3816" w:type="dxa"/>
            <w:vAlign w:val="center"/>
          </w:tcPr>
          <w:p w14:paraId="16F042F2" w14:textId="12B931A4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>V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 kw. 2025 r.</w:t>
            </w:r>
          </w:p>
        </w:tc>
        <w:tc>
          <w:tcPr>
            <w:tcW w:w="2979" w:type="dxa"/>
            <w:vAlign w:val="center"/>
          </w:tcPr>
          <w:p w14:paraId="65E6ED3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:rsidRPr="007314C9" w14:paraId="60D38FEE" w14:textId="77777777" w:rsidTr="00B11AC7">
        <w:trPr>
          <w:trHeight w:val="1211"/>
        </w:trPr>
        <w:tc>
          <w:tcPr>
            <w:tcW w:w="3267" w:type="dxa"/>
            <w:vAlign w:val="center"/>
          </w:tcPr>
          <w:p w14:paraId="38A66DF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49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Publikacja listy rankingowej</w:t>
            </w:r>
          </w:p>
        </w:tc>
        <w:tc>
          <w:tcPr>
            <w:tcW w:w="3816" w:type="dxa"/>
            <w:vAlign w:val="center"/>
          </w:tcPr>
          <w:p w14:paraId="38095F47" w14:textId="6B2C9109" w:rsidR="00484C95" w:rsidRPr="007314C9" w:rsidRDefault="0072611B" w:rsidP="00B11AC7">
            <w:pPr>
              <w:pStyle w:val="TableParagraph"/>
              <w:spacing w:before="120" w:after="120" w:line="252" w:lineRule="auto"/>
              <w:ind w:firstLine="140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październik</w:t>
            </w:r>
            <w:r w:rsidR="00FA5E5D" w:rsidRPr="007314C9">
              <w:rPr>
                <w:rFonts w:ascii="Lato" w:hAnsi="Lato"/>
                <w:bCs/>
                <w:sz w:val="18"/>
                <w:szCs w:val="18"/>
              </w:rPr>
              <w:t xml:space="preserve"> 2025 r.</w:t>
            </w:r>
          </w:p>
        </w:tc>
        <w:tc>
          <w:tcPr>
            <w:tcW w:w="2979" w:type="dxa"/>
            <w:vAlign w:val="center"/>
          </w:tcPr>
          <w:p w14:paraId="3BF92A2B" w14:textId="60A08DB2" w:rsidR="00484C95" w:rsidRPr="007314C9" w:rsidRDefault="00484C95" w:rsidP="00C86FFF">
            <w:pPr>
              <w:pStyle w:val="TableParagraph"/>
              <w:spacing w:before="120" w:after="120" w:line="252" w:lineRule="auto"/>
              <w:ind w:left="156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Do 7 dni od zatwierdzenia listy ocenionych przedsięwzięć</w:t>
            </w:r>
          </w:p>
        </w:tc>
      </w:tr>
      <w:tr w:rsidR="00484C95" w14:paraId="234FD2FC" w14:textId="77777777" w:rsidTr="00B11AC7">
        <w:trPr>
          <w:trHeight w:val="1586"/>
        </w:trPr>
        <w:tc>
          <w:tcPr>
            <w:tcW w:w="3267" w:type="dxa"/>
            <w:vAlign w:val="center"/>
          </w:tcPr>
          <w:p w14:paraId="1B7C62EB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Podpisanie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umów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objęcie przedsięwzięcia wsparciem</w:t>
            </w:r>
          </w:p>
        </w:tc>
        <w:tc>
          <w:tcPr>
            <w:tcW w:w="3816" w:type="dxa"/>
            <w:vAlign w:val="center"/>
          </w:tcPr>
          <w:p w14:paraId="4E7B3329" w14:textId="212780CB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 xml:space="preserve">V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kw. 2025 r. – I kw. 202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>6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979" w:type="dxa"/>
            <w:vAlign w:val="center"/>
          </w:tcPr>
          <w:p w14:paraId="6E71EAF6" w14:textId="3EF335EE" w:rsidR="00484C95" w:rsidRPr="0031102F" w:rsidRDefault="00484C95" w:rsidP="00712B4C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Dla</w:t>
            </w:r>
            <w:r w:rsidRPr="007314C9">
              <w:rPr>
                <w:rFonts w:ascii="Lato" w:hAnsi="Lato"/>
                <w:bCs/>
                <w:spacing w:val="-12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każdego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przedsięwzięcia termin ustalany jest indywidualnie,</w:t>
            </w:r>
            <w:r w:rsidR="00712B4C" w:rsidRPr="007314C9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od otrzymania przez Wnioskodawcę informacji</w:t>
            </w:r>
            <w:r w:rsidRPr="007314C9">
              <w:rPr>
                <w:rFonts w:ascii="Lato" w:hAnsi="Lato"/>
                <w:bCs/>
                <w:spacing w:val="40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</w:t>
            </w:r>
            <w:r w:rsidR="00712B4C" w:rsidRPr="007314C9">
              <w:rPr>
                <w:rFonts w:ascii="Lato" w:hAnsi="Lato"/>
                <w:bCs/>
                <w:spacing w:val="-12"/>
                <w:sz w:val="18"/>
                <w:szCs w:val="18"/>
              </w:rPr>
              <w:t> 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wybraniu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="00712B4C"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>p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rzedsięwzięcia</w:t>
            </w:r>
            <w:r w:rsidR="00712B4C" w:rsidRPr="007314C9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7314C9">
              <w:rPr>
                <w:rFonts w:ascii="Lato" w:hAnsi="Lato"/>
                <w:bCs/>
                <w:spacing w:val="-1"/>
                <w:sz w:val="18"/>
                <w:szCs w:val="18"/>
              </w:rPr>
              <w:t xml:space="preserve"> objęcia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wsparciem</w:t>
            </w:r>
            <w:r w:rsidR="001A5589"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.</w:t>
            </w:r>
          </w:p>
        </w:tc>
      </w:tr>
    </w:tbl>
    <w:p w14:paraId="08E1F203" w14:textId="77777777" w:rsidR="00484C95" w:rsidRDefault="00484C95"/>
    <w:sectPr w:rsidR="00484C95">
      <w:type w:val="continuous"/>
      <w:pgSz w:w="11910" w:h="16840"/>
      <w:pgMar w:top="440" w:right="80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C1"/>
    <w:rsid w:val="00014C0E"/>
    <w:rsid w:val="000300CF"/>
    <w:rsid w:val="000620CF"/>
    <w:rsid w:val="00074365"/>
    <w:rsid w:val="00082F34"/>
    <w:rsid w:val="00090682"/>
    <w:rsid w:val="000D3170"/>
    <w:rsid w:val="00101EB7"/>
    <w:rsid w:val="00121BCA"/>
    <w:rsid w:val="00135A6F"/>
    <w:rsid w:val="00140578"/>
    <w:rsid w:val="00152D5F"/>
    <w:rsid w:val="00156F96"/>
    <w:rsid w:val="001A5589"/>
    <w:rsid w:val="001D65C9"/>
    <w:rsid w:val="001F5CC7"/>
    <w:rsid w:val="00222BB4"/>
    <w:rsid w:val="002857A1"/>
    <w:rsid w:val="002B2538"/>
    <w:rsid w:val="002C61B3"/>
    <w:rsid w:val="002D75CE"/>
    <w:rsid w:val="002D7FE0"/>
    <w:rsid w:val="002E6BDC"/>
    <w:rsid w:val="0035705F"/>
    <w:rsid w:val="003634FD"/>
    <w:rsid w:val="003729C1"/>
    <w:rsid w:val="00376373"/>
    <w:rsid w:val="00386B32"/>
    <w:rsid w:val="00394BCF"/>
    <w:rsid w:val="00412EB1"/>
    <w:rsid w:val="00412ED1"/>
    <w:rsid w:val="00424F5B"/>
    <w:rsid w:val="00457F6A"/>
    <w:rsid w:val="00463BE8"/>
    <w:rsid w:val="00484C95"/>
    <w:rsid w:val="00491791"/>
    <w:rsid w:val="00495C3E"/>
    <w:rsid w:val="004A2882"/>
    <w:rsid w:val="004A53FE"/>
    <w:rsid w:val="004B4488"/>
    <w:rsid w:val="00527906"/>
    <w:rsid w:val="005736E5"/>
    <w:rsid w:val="0059698C"/>
    <w:rsid w:val="005A1280"/>
    <w:rsid w:val="005C29A3"/>
    <w:rsid w:val="005E3320"/>
    <w:rsid w:val="00602995"/>
    <w:rsid w:val="00605E2E"/>
    <w:rsid w:val="00613D62"/>
    <w:rsid w:val="006511E5"/>
    <w:rsid w:val="00684B20"/>
    <w:rsid w:val="00686CC6"/>
    <w:rsid w:val="006904C2"/>
    <w:rsid w:val="00712B4C"/>
    <w:rsid w:val="0072611B"/>
    <w:rsid w:val="007314C9"/>
    <w:rsid w:val="0073689A"/>
    <w:rsid w:val="00744ED1"/>
    <w:rsid w:val="007557BF"/>
    <w:rsid w:val="00762750"/>
    <w:rsid w:val="00766BB2"/>
    <w:rsid w:val="00782F95"/>
    <w:rsid w:val="0079111A"/>
    <w:rsid w:val="007C1F5E"/>
    <w:rsid w:val="007C6528"/>
    <w:rsid w:val="00853769"/>
    <w:rsid w:val="008C5413"/>
    <w:rsid w:val="009078E2"/>
    <w:rsid w:val="00931904"/>
    <w:rsid w:val="009372CF"/>
    <w:rsid w:val="00950661"/>
    <w:rsid w:val="00961BE1"/>
    <w:rsid w:val="00976C88"/>
    <w:rsid w:val="0099002C"/>
    <w:rsid w:val="00A01D04"/>
    <w:rsid w:val="00A04187"/>
    <w:rsid w:val="00A31DAC"/>
    <w:rsid w:val="00A337C5"/>
    <w:rsid w:val="00A441F3"/>
    <w:rsid w:val="00A4446D"/>
    <w:rsid w:val="00A775F7"/>
    <w:rsid w:val="00AC3511"/>
    <w:rsid w:val="00AD1834"/>
    <w:rsid w:val="00AD1FE8"/>
    <w:rsid w:val="00AD30E5"/>
    <w:rsid w:val="00B11AC7"/>
    <w:rsid w:val="00B33A88"/>
    <w:rsid w:val="00B65AB4"/>
    <w:rsid w:val="00BB2D2B"/>
    <w:rsid w:val="00C07FC8"/>
    <w:rsid w:val="00C2333B"/>
    <w:rsid w:val="00C36945"/>
    <w:rsid w:val="00C86FFF"/>
    <w:rsid w:val="00CB77A8"/>
    <w:rsid w:val="00CD13CA"/>
    <w:rsid w:val="00D02B72"/>
    <w:rsid w:val="00D27E6D"/>
    <w:rsid w:val="00D75D29"/>
    <w:rsid w:val="00D850FE"/>
    <w:rsid w:val="00DF6499"/>
    <w:rsid w:val="00E14FAB"/>
    <w:rsid w:val="00E378F1"/>
    <w:rsid w:val="00E44894"/>
    <w:rsid w:val="00E817ED"/>
    <w:rsid w:val="00E93EC1"/>
    <w:rsid w:val="00ED2FCF"/>
    <w:rsid w:val="00F271BD"/>
    <w:rsid w:val="00F447BA"/>
    <w:rsid w:val="00F4659C"/>
    <w:rsid w:val="00F938F0"/>
    <w:rsid w:val="00FA5E5D"/>
    <w:rsid w:val="00FF0068"/>
    <w:rsid w:val="00FF1BA0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9365"/>
  <w15:docId w15:val="{FD08BA76-B643-43F7-9404-705BA9C1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252"/>
      <w:ind w:left="3"/>
    </w:pPr>
    <w:rPr>
      <w:rFonts w:ascii="Arial" w:eastAsia="Arial" w:hAnsi="Arial" w:cs="Arial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F271BD"/>
    <w:pPr>
      <w:widowControl/>
      <w:autoSpaceDE/>
      <w:autoSpaceDN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1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1B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1BD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2EEA5-84F1-47EA-83B1-FB3375FE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Kobryn Marta</cp:lastModifiedBy>
  <cp:revision>23</cp:revision>
  <cp:lastPrinted>2024-07-10T12:30:00Z</cp:lastPrinted>
  <dcterms:created xsi:type="dcterms:W3CDTF">2024-07-12T06:49:00Z</dcterms:created>
  <dcterms:modified xsi:type="dcterms:W3CDTF">2025-07-17T16:02:00Z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2024-07-10T00:00:00Z</vt:filetime>
  </property>
  <property fmtid="{D5CDD505-2E9C-101B-9397-08002B2CF9AE}" pid="5" name="Producer">
    <vt:lpwstr>ABBYY FineReader PDF 15</vt:lpwstr>
  </property>
</Properties>
</file>